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6536A" w14:textId="48DDE8EB" w:rsidR="00961DA6" w:rsidRPr="00B76670" w:rsidRDefault="00B76670" w:rsidP="001B0D77">
      <w:pPr>
        <w:pStyle w:val="Kop2"/>
        <w:rPr>
          <w:lang w:val="fr-BE"/>
        </w:rPr>
      </w:pPr>
      <w:r w:rsidRPr="00B76670">
        <w:rPr>
          <w:lang w:val="fr-BE"/>
        </w:rPr>
        <w:t xml:space="preserve">Effectuer une enquête auprès des membres d’une </w:t>
      </w:r>
      <w:r w:rsidR="00646BD0" w:rsidRPr="00B76670">
        <w:rPr>
          <w:lang w:val="fr-BE"/>
        </w:rPr>
        <w:t>CoP</w:t>
      </w:r>
      <w:r>
        <w:rPr>
          <w:lang w:val="fr-BE"/>
        </w:rPr>
        <w:t xml:space="preserve"> </w:t>
      </w:r>
    </w:p>
    <w:p w14:paraId="6306536B" w14:textId="77777777" w:rsidR="001B0D77" w:rsidRPr="00B76670" w:rsidRDefault="001B0D77" w:rsidP="001B0D77">
      <w:pPr>
        <w:rPr>
          <w:lang w:val="fr-BE"/>
        </w:rPr>
      </w:pP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1526"/>
        <w:gridCol w:w="7762"/>
      </w:tblGrid>
      <w:tr w:rsidR="00C6123C" w:rsidRPr="00656F18" w14:paraId="63065371" w14:textId="77777777" w:rsidTr="00031F41">
        <w:tc>
          <w:tcPr>
            <w:tcW w:w="1526" w:type="dxa"/>
          </w:tcPr>
          <w:p w14:paraId="047620FA" w14:textId="77777777" w:rsidR="00C6123C" w:rsidRPr="00941594" w:rsidRDefault="00C6123C" w:rsidP="00485347">
            <w:pPr>
              <w:rPr>
                <w:b/>
                <w:lang w:val="fr-BE"/>
              </w:rPr>
            </w:pPr>
          </w:p>
          <w:p w14:paraId="42DBC128" w14:textId="77777777" w:rsidR="00C6123C" w:rsidRPr="00941594" w:rsidRDefault="00C6123C" w:rsidP="00485347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>Produit</w:t>
            </w:r>
          </w:p>
          <w:p w14:paraId="09E544E8" w14:textId="77777777" w:rsidR="00C6123C" w:rsidRPr="00B76670" w:rsidRDefault="00C6123C" w:rsidP="008B54D7">
            <w:pPr>
              <w:rPr>
                <w:b/>
                <w:lang w:val="fr-BE"/>
              </w:rPr>
            </w:pPr>
          </w:p>
        </w:tc>
        <w:tc>
          <w:tcPr>
            <w:tcW w:w="7762" w:type="dxa"/>
          </w:tcPr>
          <w:p w14:paraId="171CBB80" w14:textId="77777777" w:rsidR="00C6123C" w:rsidRPr="00C3390D" w:rsidRDefault="00C6123C" w:rsidP="00646BD0">
            <w:pPr>
              <w:rPr>
                <w:lang w:val="fr-FR"/>
              </w:rPr>
            </w:pPr>
          </w:p>
          <w:p w14:paraId="4ECFABC0" w14:textId="77777777" w:rsidR="00C6123C" w:rsidRPr="00C6123C" w:rsidRDefault="00C6123C" w:rsidP="00B76670">
            <w:pPr>
              <w:pStyle w:val="Kop2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fr-BE"/>
              </w:rPr>
            </w:pPr>
            <w:r w:rsidRPr="00C6123C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fr-BE"/>
              </w:rPr>
              <w:t xml:space="preserve">Effectuer une enquête auprès des membres d’une CoP </w:t>
            </w:r>
          </w:p>
          <w:p w14:paraId="63065370" w14:textId="42E463A6" w:rsidR="00C6123C" w:rsidRPr="00B76670" w:rsidRDefault="00C6123C" w:rsidP="00646BD0">
            <w:pPr>
              <w:rPr>
                <w:lang w:val="fr-BE"/>
              </w:rPr>
            </w:pPr>
          </w:p>
        </w:tc>
      </w:tr>
      <w:tr w:rsidR="00C6123C" w14:paraId="63065377" w14:textId="77777777" w:rsidTr="00031F41">
        <w:tc>
          <w:tcPr>
            <w:tcW w:w="1526" w:type="dxa"/>
          </w:tcPr>
          <w:p w14:paraId="038DE710" w14:textId="77777777" w:rsidR="00C6123C" w:rsidRPr="00941594" w:rsidRDefault="00C6123C" w:rsidP="00485347">
            <w:pPr>
              <w:rPr>
                <w:b/>
                <w:lang w:val="fr-BE"/>
              </w:rPr>
            </w:pPr>
          </w:p>
          <w:p w14:paraId="75E607E2" w14:textId="77777777" w:rsidR="00C6123C" w:rsidRPr="00941594" w:rsidRDefault="00C6123C" w:rsidP="00485347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>Domaine</w:t>
            </w:r>
          </w:p>
          <w:p w14:paraId="48F85DCA" w14:textId="77777777" w:rsidR="00C6123C" w:rsidRPr="00B76670" w:rsidRDefault="00C6123C" w:rsidP="00A95FF7">
            <w:pPr>
              <w:rPr>
                <w:b/>
                <w:lang w:val="fr-BE"/>
              </w:rPr>
            </w:pPr>
          </w:p>
        </w:tc>
        <w:tc>
          <w:tcPr>
            <w:tcW w:w="7762" w:type="dxa"/>
          </w:tcPr>
          <w:p w14:paraId="2C0995B8" w14:textId="77777777" w:rsidR="00C6123C" w:rsidRDefault="00C6123C" w:rsidP="00485347"/>
          <w:p w14:paraId="63065376" w14:textId="06C17556" w:rsidR="00C6123C" w:rsidRDefault="00C6123C" w:rsidP="00A95FF7">
            <w:r>
              <w:t>Gestion des connaissances</w:t>
            </w:r>
          </w:p>
        </w:tc>
      </w:tr>
      <w:tr w:rsidR="00C6123C" w:rsidRPr="00656F18" w14:paraId="6306537E" w14:textId="77777777" w:rsidTr="00031F41">
        <w:tc>
          <w:tcPr>
            <w:tcW w:w="1526" w:type="dxa"/>
          </w:tcPr>
          <w:p w14:paraId="14C9565A" w14:textId="77777777" w:rsidR="00C6123C" w:rsidRPr="00941594" w:rsidRDefault="00C6123C" w:rsidP="00485347">
            <w:pPr>
              <w:rPr>
                <w:b/>
                <w:lang w:val="fr-BE"/>
              </w:rPr>
            </w:pPr>
          </w:p>
          <w:p w14:paraId="0B0267E1" w14:textId="77777777" w:rsidR="00C6123C" w:rsidRPr="00941594" w:rsidRDefault="00C6123C" w:rsidP="00485347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 xml:space="preserve">Synonymes </w:t>
            </w:r>
          </w:p>
          <w:p w14:paraId="6BB01C9E" w14:textId="77777777" w:rsidR="00C6123C" w:rsidRDefault="00C6123C" w:rsidP="00A95FF7">
            <w:pPr>
              <w:rPr>
                <w:b/>
              </w:rPr>
            </w:pPr>
          </w:p>
        </w:tc>
        <w:tc>
          <w:tcPr>
            <w:tcW w:w="7762" w:type="dxa"/>
          </w:tcPr>
          <w:p w14:paraId="46BF0E47" w14:textId="77777777" w:rsidR="00C6123C" w:rsidRPr="00600945" w:rsidRDefault="00C6123C" w:rsidP="00485347">
            <w:pPr>
              <w:rPr>
                <w:lang w:val="fr-BE"/>
              </w:rPr>
            </w:pPr>
          </w:p>
          <w:p w14:paraId="2A938FD0" w14:textId="77777777" w:rsidR="00C6123C" w:rsidRPr="003B1A7C" w:rsidRDefault="00C6123C" w:rsidP="00485347">
            <w:pPr>
              <w:rPr>
                <w:lang w:val="fr-BE"/>
              </w:rPr>
            </w:pPr>
            <w:r w:rsidRPr="003B1A7C">
              <w:rPr>
                <w:lang w:val="fr-BE"/>
              </w:rPr>
              <w:t>CoP, communities of practice, réseaux d’apprentissage, réseaux</w:t>
            </w:r>
            <w:r>
              <w:rPr>
                <w:lang w:val="fr-BE"/>
              </w:rPr>
              <w:t>, communautés de travail</w:t>
            </w:r>
          </w:p>
          <w:p w14:paraId="6306537D" w14:textId="77777777" w:rsidR="00C6123C" w:rsidRPr="0019332D" w:rsidRDefault="00C6123C" w:rsidP="00A95FF7">
            <w:pPr>
              <w:rPr>
                <w:lang w:val="fr-BE"/>
              </w:rPr>
            </w:pPr>
          </w:p>
        </w:tc>
      </w:tr>
      <w:tr w:rsidR="00C6123C" w:rsidRPr="00656F18" w14:paraId="63065384" w14:textId="77777777" w:rsidTr="00031F41">
        <w:tc>
          <w:tcPr>
            <w:tcW w:w="1526" w:type="dxa"/>
          </w:tcPr>
          <w:p w14:paraId="7657EA84" w14:textId="77777777" w:rsidR="00C6123C" w:rsidRPr="00941594" w:rsidRDefault="00C6123C" w:rsidP="00485347">
            <w:pPr>
              <w:rPr>
                <w:b/>
                <w:lang w:val="fr-BE"/>
              </w:rPr>
            </w:pPr>
          </w:p>
          <w:p w14:paraId="25CCCA9B" w14:textId="77777777" w:rsidR="00C6123C" w:rsidRPr="00941594" w:rsidRDefault="00C6123C" w:rsidP="00485347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Brève d</w:t>
            </w:r>
            <w:r w:rsidRPr="00941594">
              <w:rPr>
                <w:b/>
                <w:lang w:val="fr-BE"/>
              </w:rPr>
              <w:t>escription</w:t>
            </w:r>
          </w:p>
          <w:p w14:paraId="5C7BD8B2" w14:textId="77777777" w:rsidR="00C6123C" w:rsidRPr="0019332D" w:rsidRDefault="00C6123C" w:rsidP="008B54D7">
            <w:pPr>
              <w:rPr>
                <w:b/>
                <w:lang w:val="fr-BE"/>
              </w:rPr>
            </w:pPr>
          </w:p>
        </w:tc>
        <w:tc>
          <w:tcPr>
            <w:tcW w:w="7762" w:type="dxa"/>
          </w:tcPr>
          <w:p w14:paraId="63065382" w14:textId="77777777" w:rsidR="00C6123C" w:rsidRPr="00C3390D" w:rsidRDefault="00C6123C" w:rsidP="008B54D7">
            <w:pPr>
              <w:rPr>
                <w:lang w:val="fr-FR"/>
              </w:rPr>
            </w:pPr>
          </w:p>
          <w:p w14:paraId="13BCBA1B" w14:textId="77777777" w:rsidR="00C6123C" w:rsidRDefault="00C6123C" w:rsidP="00611CA8">
            <w:pPr>
              <w:rPr>
                <w:lang w:val="fr-BE"/>
              </w:rPr>
            </w:pPr>
            <w:r w:rsidRPr="00B76670">
              <w:rPr>
                <w:lang w:val="fr-BE"/>
              </w:rPr>
              <w:t>Le SPF FOD P&amp;O vous soutient pour l</w:t>
            </w:r>
            <w:r w:rsidR="00611CA8">
              <w:rPr>
                <w:lang w:val="fr-BE"/>
              </w:rPr>
              <w:t>’entière</w:t>
            </w:r>
            <w:r w:rsidRPr="00B76670">
              <w:rPr>
                <w:lang w:val="fr-BE"/>
              </w:rPr>
              <w:t xml:space="preserve">té du processus d’enquête: du </w:t>
            </w:r>
            <w:r w:rsidR="00611CA8">
              <w:rPr>
                <w:lang w:val="fr-BE"/>
              </w:rPr>
              <w:t>démarrage</w:t>
            </w:r>
            <w:r w:rsidRPr="00B76670">
              <w:rPr>
                <w:lang w:val="fr-BE"/>
              </w:rPr>
              <w:t xml:space="preserve"> jusquà la fourniture d’un rapport avec les résultat</w:t>
            </w:r>
            <w:r w:rsidR="00611CA8">
              <w:rPr>
                <w:lang w:val="fr-BE"/>
              </w:rPr>
              <w:t>s</w:t>
            </w:r>
            <w:r w:rsidRPr="00B76670">
              <w:rPr>
                <w:lang w:val="fr-BE"/>
              </w:rPr>
              <w:t xml:space="preserve"> détaillé</w:t>
            </w:r>
            <w:r w:rsidR="00611CA8">
              <w:rPr>
                <w:lang w:val="fr-BE"/>
              </w:rPr>
              <w:t>s</w:t>
            </w:r>
            <w:r w:rsidRPr="00B76670">
              <w:rPr>
                <w:lang w:val="fr-BE"/>
              </w:rPr>
              <w:t xml:space="preserve"> et </w:t>
            </w:r>
            <w:r w:rsidR="00611CA8">
              <w:rPr>
                <w:lang w:val="fr-BE"/>
              </w:rPr>
              <w:t xml:space="preserve">si désiré </w:t>
            </w:r>
            <w:r w:rsidRPr="00B76670">
              <w:rPr>
                <w:lang w:val="fr-BE"/>
              </w:rPr>
              <w:t>une collaboration à l’établissement d’un plan d’action.</w:t>
            </w:r>
            <w:r>
              <w:rPr>
                <w:lang w:val="fr-BE"/>
              </w:rPr>
              <w:t xml:space="preserve"> </w:t>
            </w:r>
          </w:p>
          <w:p w14:paraId="63065383" w14:textId="1DF252C2" w:rsidR="00031F41" w:rsidRPr="00B76670" w:rsidRDefault="00031F41" w:rsidP="00611CA8">
            <w:pPr>
              <w:rPr>
                <w:lang w:val="fr-BE"/>
              </w:rPr>
            </w:pPr>
          </w:p>
        </w:tc>
      </w:tr>
      <w:tr w:rsidR="00C6123C" w14:paraId="6306538A" w14:textId="77777777" w:rsidTr="00031F41">
        <w:tc>
          <w:tcPr>
            <w:tcW w:w="1526" w:type="dxa"/>
          </w:tcPr>
          <w:p w14:paraId="3C857181" w14:textId="77777777" w:rsidR="00C6123C" w:rsidRPr="00941594" w:rsidRDefault="00C6123C" w:rsidP="00485347">
            <w:pPr>
              <w:rPr>
                <w:b/>
                <w:lang w:val="fr-BE"/>
              </w:rPr>
            </w:pPr>
          </w:p>
          <w:p w14:paraId="6660297E" w14:textId="77777777" w:rsidR="00C6123C" w:rsidRPr="00941594" w:rsidRDefault="00C6123C" w:rsidP="00485347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>Groupe cible</w:t>
            </w:r>
          </w:p>
          <w:p w14:paraId="0A9B8676" w14:textId="77777777" w:rsidR="00C6123C" w:rsidRPr="00B76670" w:rsidRDefault="00C6123C" w:rsidP="008B54D7">
            <w:pPr>
              <w:rPr>
                <w:b/>
                <w:lang w:val="fr-BE"/>
              </w:rPr>
            </w:pPr>
          </w:p>
        </w:tc>
        <w:tc>
          <w:tcPr>
            <w:tcW w:w="7762" w:type="dxa"/>
          </w:tcPr>
          <w:p w14:paraId="3A506D6A" w14:textId="77777777" w:rsidR="00C6123C" w:rsidRDefault="00C6123C" w:rsidP="008B54D7"/>
          <w:p w14:paraId="3C2FACCA" w14:textId="397A9E7C" w:rsidR="00C6123C" w:rsidRDefault="00C3390D" w:rsidP="008B54D7">
            <w:r>
              <w:t>Coordin</w:t>
            </w:r>
            <w:r w:rsidR="00C6123C">
              <w:t>ateur(s) d’une CoP</w:t>
            </w:r>
          </w:p>
          <w:p w14:paraId="63065389" w14:textId="04929063" w:rsidR="00C6123C" w:rsidRDefault="00C6123C" w:rsidP="008B54D7"/>
        </w:tc>
      </w:tr>
      <w:tr w:rsidR="00C6123C" w:rsidRPr="00656F18" w14:paraId="63065392" w14:textId="77777777" w:rsidTr="00031F41">
        <w:tc>
          <w:tcPr>
            <w:tcW w:w="1526" w:type="dxa"/>
          </w:tcPr>
          <w:p w14:paraId="1224B97E" w14:textId="77777777" w:rsidR="00C6123C" w:rsidRPr="00941594" w:rsidRDefault="00C6123C" w:rsidP="00485347">
            <w:pPr>
              <w:rPr>
                <w:b/>
                <w:lang w:val="fr-BE"/>
              </w:rPr>
            </w:pPr>
          </w:p>
          <w:p w14:paraId="25ECCDC6" w14:textId="77777777" w:rsidR="00C6123C" w:rsidRPr="00941594" w:rsidRDefault="00C6123C" w:rsidP="00485347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>Objectif</w:t>
            </w:r>
          </w:p>
          <w:p w14:paraId="1760B5A7" w14:textId="77777777" w:rsidR="00C6123C" w:rsidRDefault="00C6123C" w:rsidP="008B54D7">
            <w:pPr>
              <w:rPr>
                <w:b/>
              </w:rPr>
            </w:pPr>
          </w:p>
        </w:tc>
        <w:tc>
          <w:tcPr>
            <w:tcW w:w="7762" w:type="dxa"/>
          </w:tcPr>
          <w:p w14:paraId="509FBFCD" w14:textId="77777777" w:rsidR="00C6123C" w:rsidRDefault="00C6123C" w:rsidP="00CB0F03">
            <w:pPr>
              <w:rPr>
                <w:lang w:val="fr-BE"/>
              </w:rPr>
            </w:pPr>
          </w:p>
          <w:p w14:paraId="2C1F96EF" w14:textId="77777777" w:rsidR="00C6123C" w:rsidRDefault="00C6123C" w:rsidP="00CB0F03">
            <w:pPr>
              <w:rPr>
                <w:lang w:val="fr-BE"/>
              </w:rPr>
            </w:pPr>
            <w:r w:rsidRPr="00B76670">
              <w:rPr>
                <w:lang w:val="fr-BE"/>
              </w:rPr>
              <w:t>Mener une enquête en ligne sur la satisfaction des membres et sonder la valeur ajoutée apportée par la CoP.</w:t>
            </w:r>
            <w:r>
              <w:rPr>
                <w:lang w:val="fr-BE"/>
              </w:rPr>
              <w:t xml:space="preserve"> Le(s) coordinateur(s) disposent d’un rapport d’évaluation sur lequel s’appuyer pour identifier des pistes d’amélioration.</w:t>
            </w:r>
          </w:p>
          <w:p w14:paraId="63065391" w14:textId="1B8DEB33" w:rsidR="00031F41" w:rsidRPr="00C03CBA" w:rsidRDefault="00031F41" w:rsidP="00CB0F03">
            <w:pPr>
              <w:rPr>
                <w:lang w:val="fr-BE"/>
              </w:rPr>
            </w:pPr>
          </w:p>
        </w:tc>
      </w:tr>
      <w:tr w:rsidR="00C6123C" w:rsidRPr="00656F18" w14:paraId="63065399" w14:textId="77777777" w:rsidTr="00031F41">
        <w:tc>
          <w:tcPr>
            <w:tcW w:w="1526" w:type="dxa"/>
          </w:tcPr>
          <w:p w14:paraId="089EE4D9" w14:textId="77777777" w:rsidR="00C6123C" w:rsidRPr="00941594" w:rsidRDefault="00C6123C" w:rsidP="00485347">
            <w:pPr>
              <w:rPr>
                <w:b/>
                <w:lang w:val="fr-BE"/>
              </w:rPr>
            </w:pPr>
          </w:p>
          <w:p w14:paraId="52BE09FC" w14:textId="77777777" w:rsidR="00C6123C" w:rsidRPr="00941594" w:rsidRDefault="00C6123C" w:rsidP="00485347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</w:t>
            </w:r>
            <w:r w:rsidRPr="00941594">
              <w:rPr>
                <w:b/>
                <w:lang w:val="fr-BE"/>
              </w:rPr>
              <w:t xml:space="preserve">escription détaillée </w:t>
            </w:r>
          </w:p>
          <w:p w14:paraId="5EC69708" w14:textId="77777777" w:rsidR="00C6123C" w:rsidRPr="00C03CBA" w:rsidRDefault="00C6123C" w:rsidP="008B54D7">
            <w:pPr>
              <w:rPr>
                <w:b/>
                <w:lang w:val="fr-BE"/>
              </w:rPr>
            </w:pPr>
          </w:p>
        </w:tc>
        <w:tc>
          <w:tcPr>
            <w:tcW w:w="7762" w:type="dxa"/>
          </w:tcPr>
          <w:p w14:paraId="52EE1029" w14:textId="77777777" w:rsidR="00031F41" w:rsidRDefault="00031F41" w:rsidP="00CB0F03"/>
          <w:p w14:paraId="5F41BDDC" w14:textId="1BE24F67" w:rsidR="00C6123C" w:rsidRDefault="00C6123C" w:rsidP="00CB0F03">
            <w:r>
              <w:t>Le SPF P&amp;O</w:t>
            </w:r>
          </w:p>
          <w:p w14:paraId="6C768615" w14:textId="6673BB34" w:rsidR="00C6123C" w:rsidRPr="00C3390D" w:rsidRDefault="00C3390D" w:rsidP="00CB0F03">
            <w:pPr>
              <w:pStyle w:val="Lijstalinea"/>
              <w:numPr>
                <w:ilvl w:val="0"/>
                <w:numId w:val="10"/>
              </w:numPr>
              <w:rPr>
                <w:lang w:val="fr-FR"/>
              </w:rPr>
            </w:pPr>
            <w:r>
              <w:rPr>
                <w:lang w:val="fr-FR"/>
              </w:rPr>
              <w:t>v</w:t>
            </w:r>
            <w:r w:rsidR="00C6123C" w:rsidRPr="00C3390D">
              <w:rPr>
                <w:lang w:val="fr-FR"/>
              </w:rPr>
              <w:t xml:space="preserve">ous aide à déterminer la meilleure approche pour mener l’enquête </w:t>
            </w:r>
          </w:p>
          <w:p w14:paraId="3D68C13F" w14:textId="6A600DEC" w:rsidR="00C6123C" w:rsidRDefault="00C3390D" w:rsidP="00CB0F03">
            <w:pPr>
              <w:pStyle w:val="Lijstalinea"/>
              <w:numPr>
                <w:ilvl w:val="0"/>
                <w:numId w:val="10"/>
              </w:numPr>
            </w:pPr>
            <w:r>
              <w:t>l</w:t>
            </w:r>
            <w:r w:rsidR="00C6123C">
              <w:t>ance l’enquête en ligne</w:t>
            </w:r>
          </w:p>
          <w:p w14:paraId="4FDFFD63" w14:textId="4694ABE0" w:rsidR="00C6123C" w:rsidRPr="00C03CBA" w:rsidRDefault="00C3390D" w:rsidP="00CB0F03">
            <w:pPr>
              <w:pStyle w:val="Lijstalinea"/>
              <w:numPr>
                <w:ilvl w:val="0"/>
                <w:numId w:val="10"/>
              </w:numPr>
              <w:rPr>
                <w:lang w:val="fr-BE"/>
              </w:rPr>
            </w:pPr>
            <w:r>
              <w:rPr>
                <w:lang w:val="fr-BE"/>
              </w:rPr>
              <w:t>f</w:t>
            </w:r>
            <w:r w:rsidR="00C6123C" w:rsidRPr="00C03CBA">
              <w:rPr>
                <w:lang w:val="fr-BE"/>
              </w:rPr>
              <w:t xml:space="preserve">ournit un rapport avec les résultats </w:t>
            </w:r>
          </w:p>
          <w:p w14:paraId="4BB56582" w14:textId="1E662455" w:rsidR="00C6123C" w:rsidRPr="00C03CBA" w:rsidRDefault="00C3390D" w:rsidP="00C03CBA">
            <w:pPr>
              <w:pStyle w:val="Lijstalinea"/>
              <w:numPr>
                <w:ilvl w:val="0"/>
                <w:numId w:val="10"/>
              </w:numPr>
              <w:rPr>
                <w:lang w:val="fr-BE"/>
              </w:rPr>
            </w:pPr>
            <w:r>
              <w:rPr>
                <w:lang w:val="fr-BE"/>
              </w:rPr>
              <w:t>v</w:t>
            </w:r>
            <w:r w:rsidR="00C6123C" w:rsidRPr="00C03CBA">
              <w:rPr>
                <w:lang w:val="fr-BE"/>
              </w:rPr>
              <w:t xml:space="preserve">ous aide à déterminer le plan d’action </w:t>
            </w:r>
          </w:p>
          <w:p w14:paraId="11EEDDB9" w14:textId="77777777" w:rsidR="00C6123C" w:rsidRDefault="00C6123C" w:rsidP="00C03CBA">
            <w:pPr>
              <w:rPr>
                <w:lang w:val="fr-BE"/>
              </w:rPr>
            </w:pPr>
            <w:r>
              <w:rPr>
                <w:lang w:val="fr-BE"/>
              </w:rPr>
              <w:t xml:space="preserve">Pour une analyse plus approfondie, nous vous conseillons d’utiliser en complément la </w:t>
            </w:r>
            <w:hyperlink r:id="rId7" w:history="1">
              <w:r w:rsidRPr="00C03CBA">
                <w:rPr>
                  <w:rStyle w:val="Hyperlink"/>
                  <w:lang w:val="fr-BE"/>
                </w:rPr>
                <w:t>boussole</w:t>
              </w:r>
            </w:hyperlink>
            <w:r>
              <w:rPr>
                <w:lang w:val="fr-BE"/>
              </w:rPr>
              <w:t xml:space="preserve">. </w:t>
            </w:r>
            <w:r w:rsidRPr="00611CA8">
              <w:rPr>
                <w:lang w:val="fr-BE"/>
              </w:rPr>
              <w:t>Vous pouvez également faire appel au SPF P&amp;O</w:t>
            </w:r>
            <w:r w:rsidR="00611CA8" w:rsidRPr="00611CA8">
              <w:rPr>
                <w:lang w:val="fr-BE"/>
              </w:rPr>
              <w:t xml:space="preserve"> pour se faire</w:t>
            </w:r>
            <w:r w:rsidRPr="00611CA8">
              <w:rPr>
                <w:lang w:val="fr-BE"/>
              </w:rPr>
              <w:t xml:space="preserve">. </w:t>
            </w:r>
          </w:p>
          <w:p w14:paraId="63065398" w14:textId="745D9292" w:rsidR="00031F41" w:rsidRPr="00611CA8" w:rsidRDefault="00031F41" w:rsidP="00C03CBA">
            <w:pPr>
              <w:rPr>
                <w:lang w:val="fr-BE"/>
              </w:rPr>
            </w:pPr>
          </w:p>
        </w:tc>
      </w:tr>
      <w:tr w:rsidR="00C6123C" w:rsidRPr="00656F18" w14:paraId="630653A0" w14:textId="77777777" w:rsidTr="00031F41">
        <w:tc>
          <w:tcPr>
            <w:tcW w:w="1526" w:type="dxa"/>
          </w:tcPr>
          <w:p w14:paraId="5F91E861" w14:textId="77777777" w:rsidR="00C6123C" w:rsidRPr="00941594" w:rsidRDefault="00C6123C" w:rsidP="00485347">
            <w:pPr>
              <w:rPr>
                <w:b/>
                <w:lang w:val="fr-BE"/>
              </w:rPr>
            </w:pPr>
          </w:p>
          <w:p w14:paraId="7B8CB74A" w14:textId="77777777" w:rsidR="00C6123C" w:rsidRPr="00941594" w:rsidRDefault="00C6123C" w:rsidP="00485347">
            <w:pPr>
              <w:rPr>
                <w:b/>
                <w:sz w:val="18"/>
                <w:szCs w:val="18"/>
                <w:lang w:val="fr-BE"/>
              </w:rPr>
            </w:pPr>
            <w:r w:rsidRPr="00941594">
              <w:rPr>
                <w:b/>
                <w:lang w:val="fr-BE"/>
              </w:rPr>
              <w:t xml:space="preserve">Approche </w:t>
            </w:r>
            <w:r w:rsidRPr="00941594">
              <w:rPr>
                <w:b/>
                <w:sz w:val="18"/>
                <w:szCs w:val="18"/>
                <w:lang w:val="fr-BE"/>
              </w:rPr>
              <w:t>(non applicable pour la plupart des produits)</w:t>
            </w:r>
          </w:p>
          <w:p w14:paraId="38367C3F" w14:textId="77777777" w:rsidR="00C6123C" w:rsidRPr="00C6123C" w:rsidRDefault="00C6123C" w:rsidP="008B54D7">
            <w:pPr>
              <w:rPr>
                <w:b/>
                <w:lang w:val="fr-BE"/>
              </w:rPr>
            </w:pPr>
          </w:p>
        </w:tc>
        <w:tc>
          <w:tcPr>
            <w:tcW w:w="7762" w:type="dxa"/>
          </w:tcPr>
          <w:p w14:paraId="6306539D" w14:textId="77777777" w:rsidR="00C6123C" w:rsidRPr="00C3390D" w:rsidRDefault="00C6123C" w:rsidP="008B54D7">
            <w:pPr>
              <w:rPr>
                <w:lang w:val="fr-FR"/>
              </w:rPr>
            </w:pPr>
          </w:p>
          <w:p w14:paraId="6306539F" w14:textId="44CB2AB1" w:rsidR="00C6123C" w:rsidRPr="00C6123C" w:rsidRDefault="00C6123C" w:rsidP="00656F18">
            <w:pPr>
              <w:rPr>
                <w:lang w:val="fr-BE"/>
              </w:rPr>
            </w:pPr>
            <w:r w:rsidRPr="00280D9B">
              <w:rPr>
                <w:lang w:val="fr-BE"/>
              </w:rPr>
              <w:t xml:space="preserve">Les modalités sont </w:t>
            </w:r>
            <w:r>
              <w:rPr>
                <w:lang w:val="fr-BE"/>
              </w:rPr>
              <w:t>précisées</w:t>
            </w:r>
            <w:r w:rsidRPr="00280D9B">
              <w:rPr>
                <w:lang w:val="fr-BE"/>
              </w:rPr>
              <w:t xml:space="preserve"> lors d’un entretien préalable (intake) et fixées dans une convention de collaboration. </w:t>
            </w:r>
          </w:p>
        </w:tc>
      </w:tr>
      <w:tr w:rsidR="0036314A" w:rsidRPr="00656F18" w14:paraId="1602A450" w14:textId="77777777" w:rsidTr="00031F41">
        <w:tc>
          <w:tcPr>
            <w:tcW w:w="1526" w:type="dxa"/>
          </w:tcPr>
          <w:p w14:paraId="13E5802E" w14:textId="77777777" w:rsidR="00656F18" w:rsidRDefault="00656F18" w:rsidP="00485347">
            <w:pPr>
              <w:rPr>
                <w:b/>
                <w:lang w:val="fr-BE"/>
              </w:rPr>
            </w:pPr>
          </w:p>
          <w:p w14:paraId="738C2E78" w14:textId="7E664C8D" w:rsidR="0036314A" w:rsidRPr="00941594" w:rsidRDefault="0036314A" w:rsidP="00485347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Durée</w:t>
            </w:r>
          </w:p>
        </w:tc>
        <w:tc>
          <w:tcPr>
            <w:tcW w:w="7762" w:type="dxa"/>
          </w:tcPr>
          <w:p w14:paraId="02FDE4DD" w14:textId="77777777" w:rsidR="00031F41" w:rsidRDefault="00031F41" w:rsidP="008B54D7">
            <w:pPr>
              <w:rPr>
                <w:lang w:val="fr-BE"/>
              </w:rPr>
            </w:pPr>
          </w:p>
          <w:p w14:paraId="614195E0" w14:textId="1B141A97" w:rsidR="0036314A" w:rsidRDefault="0036314A" w:rsidP="008B54D7">
            <w:pPr>
              <w:rPr>
                <w:lang w:val="fr-BE"/>
              </w:rPr>
            </w:pPr>
            <w:r w:rsidRPr="00C6123C">
              <w:rPr>
                <w:lang w:val="fr-BE"/>
              </w:rPr>
              <w:t xml:space="preserve">La préparation d’une enquête demande </w:t>
            </w:r>
            <w:r w:rsidR="005754EA">
              <w:rPr>
                <w:lang w:val="fr-BE"/>
              </w:rPr>
              <w:t>au</w:t>
            </w:r>
            <w:r w:rsidRPr="00C6123C">
              <w:rPr>
                <w:lang w:val="fr-BE"/>
              </w:rPr>
              <w:t xml:space="preserve"> maximum </w:t>
            </w:r>
            <w:r w:rsidR="005754EA">
              <w:rPr>
                <w:lang w:val="fr-BE"/>
              </w:rPr>
              <w:t>1</w:t>
            </w:r>
            <w:r w:rsidRPr="00C6123C">
              <w:rPr>
                <w:lang w:val="fr-BE"/>
              </w:rPr>
              <w:t xml:space="preserve"> mois après l’entretien d’intake.  L’enquête est ensuite mise en ligne pendant 2 </w:t>
            </w:r>
            <w:r>
              <w:rPr>
                <w:lang w:val="fr-BE"/>
              </w:rPr>
              <w:t>semaines</w:t>
            </w:r>
            <w:r w:rsidRPr="00C6123C">
              <w:rPr>
                <w:lang w:val="fr-BE"/>
              </w:rPr>
              <w:t>.</w:t>
            </w:r>
            <w:r>
              <w:rPr>
                <w:lang w:val="fr-BE"/>
              </w:rPr>
              <w:t xml:space="preserve"> La fournit</w:t>
            </w:r>
            <w:r w:rsidR="005754EA">
              <w:rPr>
                <w:lang w:val="fr-BE"/>
              </w:rPr>
              <w:t>ure d’un rapport est fournie au plus tard 1 mois après</w:t>
            </w:r>
            <w:r>
              <w:rPr>
                <w:lang w:val="fr-BE"/>
              </w:rPr>
              <w:t xml:space="preserve"> la clôture</w:t>
            </w:r>
            <w:r w:rsidR="005754EA">
              <w:rPr>
                <w:lang w:val="fr-BE"/>
              </w:rPr>
              <w:t xml:space="preserve"> de l’enquête en ligne</w:t>
            </w:r>
            <w:r>
              <w:rPr>
                <w:lang w:val="fr-BE"/>
              </w:rPr>
              <w:t>.</w:t>
            </w:r>
          </w:p>
          <w:p w14:paraId="63DFA67B" w14:textId="5CC409E8" w:rsidR="00031F41" w:rsidRPr="00C3390D" w:rsidRDefault="00031F41" w:rsidP="008B54D7">
            <w:pPr>
              <w:rPr>
                <w:lang w:val="fr-FR"/>
              </w:rPr>
            </w:pPr>
          </w:p>
        </w:tc>
      </w:tr>
      <w:tr w:rsidR="00C6123C" w:rsidRPr="00C6123C" w14:paraId="630653A7" w14:textId="77777777" w:rsidTr="00031F41">
        <w:tc>
          <w:tcPr>
            <w:tcW w:w="1526" w:type="dxa"/>
          </w:tcPr>
          <w:p w14:paraId="60607ADB" w14:textId="77777777" w:rsidR="00C6123C" w:rsidRPr="00941594" w:rsidRDefault="00C6123C" w:rsidP="00485347">
            <w:pPr>
              <w:rPr>
                <w:b/>
                <w:lang w:val="fr-BE"/>
              </w:rPr>
            </w:pPr>
          </w:p>
          <w:p w14:paraId="70560FD4" w14:textId="77777777" w:rsidR="00C6123C" w:rsidRPr="00941594" w:rsidRDefault="00C6123C" w:rsidP="00485347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>Coût</w:t>
            </w:r>
          </w:p>
          <w:p w14:paraId="1F0D0C37" w14:textId="77777777" w:rsidR="00C6123C" w:rsidRPr="00C6123C" w:rsidRDefault="00C6123C" w:rsidP="008B54D7">
            <w:pPr>
              <w:rPr>
                <w:lang w:val="fr-BE"/>
              </w:rPr>
            </w:pPr>
          </w:p>
        </w:tc>
        <w:tc>
          <w:tcPr>
            <w:tcW w:w="7762" w:type="dxa"/>
          </w:tcPr>
          <w:p w14:paraId="630653A5" w14:textId="77777777" w:rsidR="00C6123C" w:rsidRDefault="00C6123C" w:rsidP="008B54D7"/>
          <w:p w14:paraId="630653A6" w14:textId="72640AC4" w:rsidR="00C6123C" w:rsidRPr="00031F41" w:rsidRDefault="0036314A" w:rsidP="00031F41">
            <w:r>
              <w:t>Gratuit</w:t>
            </w:r>
          </w:p>
        </w:tc>
      </w:tr>
      <w:tr w:rsidR="00C6123C" w:rsidRPr="00656F18" w14:paraId="630653AE" w14:textId="77777777" w:rsidTr="00031F41">
        <w:tc>
          <w:tcPr>
            <w:tcW w:w="1526" w:type="dxa"/>
          </w:tcPr>
          <w:p w14:paraId="30AA23EA" w14:textId="77777777" w:rsidR="00C6123C" w:rsidRPr="00C6123C" w:rsidRDefault="00C6123C" w:rsidP="00485347">
            <w:pPr>
              <w:rPr>
                <w:b/>
                <w:lang w:val="fr-BE"/>
              </w:rPr>
            </w:pPr>
          </w:p>
          <w:p w14:paraId="0A309111" w14:textId="77777777" w:rsidR="00C6123C" w:rsidRPr="00941594" w:rsidRDefault="00C6123C" w:rsidP="00485347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lastRenderedPageBreak/>
              <w:t>Conditions</w:t>
            </w:r>
          </w:p>
          <w:p w14:paraId="04E50FD1" w14:textId="77777777" w:rsidR="00C6123C" w:rsidRDefault="00C6123C" w:rsidP="008B54D7">
            <w:pPr>
              <w:rPr>
                <w:b/>
              </w:rPr>
            </w:pPr>
          </w:p>
        </w:tc>
        <w:tc>
          <w:tcPr>
            <w:tcW w:w="7762" w:type="dxa"/>
          </w:tcPr>
          <w:p w14:paraId="630653AB" w14:textId="77777777" w:rsidR="00C6123C" w:rsidRDefault="00C6123C" w:rsidP="008B54D7"/>
          <w:p w14:paraId="5F5DD90B" w14:textId="77777777" w:rsidR="0036314A" w:rsidRPr="00F660B2" w:rsidRDefault="0036314A" w:rsidP="0036314A">
            <w:pPr>
              <w:pStyle w:val="Lijstalinea"/>
              <w:numPr>
                <w:ilvl w:val="0"/>
                <w:numId w:val="12"/>
              </w:numPr>
              <w:rPr>
                <w:lang w:val="fr-BE"/>
              </w:rPr>
            </w:pPr>
            <w:r w:rsidRPr="00F660B2">
              <w:rPr>
                <w:lang w:val="fr-BE"/>
              </w:rPr>
              <w:lastRenderedPageBreak/>
              <w:t xml:space="preserve">Le soutien du projet par le management constitue une condition indispensable. En outre, le SPF P&amp;O travaille en partenariat avec le </w:t>
            </w:r>
            <w:r w:rsidRPr="00031F41">
              <w:rPr>
                <w:b/>
                <w:lang w:val="fr-BE"/>
              </w:rPr>
              <w:t>chef de projet</w:t>
            </w:r>
            <w:r w:rsidRPr="00F660B2">
              <w:rPr>
                <w:lang w:val="fr-BE"/>
              </w:rPr>
              <w:t xml:space="preserve">, ce qui implique que celui-ci dispose de suffisamment de moyens pour jouer pleinement son rôle (mandat, temps, moyens, collègues éventuellement à impliquer). </w:t>
            </w:r>
          </w:p>
          <w:p w14:paraId="2E5C6672" w14:textId="77777777" w:rsidR="0036314A" w:rsidRPr="00F660B2" w:rsidRDefault="0036314A" w:rsidP="0036314A">
            <w:pPr>
              <w:pStyle w:val="Lijstalinea"/>
              <w:numPr>
                <w:ilvl w:val="0"/>
                <w:numId w:val="8"/>
              </w:numPr>
              <w:rPr>
                <w:lang w:val="fr-BE"/>
              </w:rPr>
            </w:pPr>
            <w:r w:rsidRPr="00F660B2">
              <w:rPr>
                <w:lang w:val="fr-BE"/>
              </w:rPr>
              <w:t xml:space="preserve">L’enquête en ligne est destinée à être utilisée auprès </w:t>
            </w:r>
            <w:r>
              <w:rPr>
                <w:lang w:val="fr-BE"/>
              </w:rPr>
              <w:t xml:space="preserve">d’un </w:t>
            </w:r>
            <w:r w:rsidRPr="00F660B2">
              <w:rPr>
                <w:b/>
                <w:lang w:val="fr-BE"/>
              </w:rPr>
              <w:t>minimum de 20 membres</w:t>
            </w:r>
            <w:r>
              <w:rPr>
                <w:lang w:val="fr-BE"/>
              </w:rPr>
              <w:t>.</w:t>
            </w:r>
            <w:r w:rsidRPr="00F660B2">
              <w:rPr>
                <w:lang w:val="fr-BE"/>
              </w:rPr>
              <w:t xml:space="preserve"> </w:t>
            </w:r>
          </w:p>
          <w:p w14:paraId="29D2E906" w14:textId="47369F60" w:rsidR="0036314A" w:rsidRPr="00031F41" w:rsidRDefault="0036314A" w:rsidP="0036314A">
            <w:pPr>
              <w:pStyle w:val="Lijstalinea"/>
              <w:numPr>
                <w:ilvl w:val="0"/>
                <w:numId w:val="8"/>
              </w:numPr>
              <w:rPr>
                <w:lang w:val="fr-BE"/>
              </w:rPr>
            </w:pPr>
            <w:r w:rsidRPr="00F660B2">
              <w:rPr>
                <w:lang w:val="fr-BE"/>
              </w:rPr>
              <w:t xml:space="preserve">L’enquête est </w:t>
            </w:r>
            <w:r w:rsidRPr="00031F41">
              <w:rPr>
                <w:b/>
                <w:lang w:val="fr-BE"/>
              </w:rPr>
              <w:t>standardisée</w:t>
            </w:r>
            <w:r w:rsidRPr="00F660B2">
              <w:rPr>
                <w:lang w:val="fr-BE"/>
              </w:rPr>
              <w:t xml:space="preserve">. </w:t>
            </w:r>
            <w:r w:rsidRPr="00031F41">
              <w:rPr>
                <w:lang w:val="fr-BE"/>
              </w:rPr>
              <w:t>Les questions ou l’échelle ne sont pas modifiables</w:t>
            </w:r>
            <w:r w:rsidR="00031F41" w:rsidRPr="00031F41">
              <w:rPr>
                <w:lang w:val="fr-BE"/>
              </w:rPr>
              <w:t>.</w:t>
            </w:r>
          </w:p>
          <w:p w14:paraId="1B425B35" w14:textId="77777777" w:rsidR="0036314A" w:rsidRPr="00F660B2" w:rsidRDefault="0036314A" w:rsidP="0036314A">
            <w:pPr>
              <w:pStyle w:val="Lijstalinea"/>
              <w:numPr>
                <w:ilvl w:val="0"/>
                <w:numId w:val="8"/>
              </w:numPr>
              <w:rPr>
                <w:lang w:val="fr-BE"/>
              </w:rPr>
            </w:pPr>
            <w:r w:rsidRPr="00F660B2">
              <w:rPr>
                <w:lang w:val="fr-BE"/>
              </w:rPr>
              <w:t>L’enquête est une aide à la définition d’action</w:t>
            </w:r>
            <w:r>
              <w:rPr>
                <w:lang w:val="fr-BE"/>
              </w:rPr>
              <w:t>s</w:t>
            </w:r>
            <w:r w:rsidRPr="00F660B2">
              <w:rPr>
                <w:lang w:val="fr-BE"/>
              </w:rPr>
              <w:t xml:space="preserve"> d’amélioration. </w:t>
            </w:r>
            <w:r>
              <w:rPr>
                <w:lang w:val="fr-BE"/>
              </w:rPr>
              <w:t xml:space="preserve">Un engagement quant à l’implémentation du </w:t>
            </w:r>
            <w:r w:rsidRPr="00031F41">
              <w:rPr>
                <w:b/>
                <w:lang w:val="fr-BE"/>
              </w:rPr>
              <w:t>plan d’action</w:t>
            </w:r>
            <w:r>
              <w:rPr>
                <w:lang w:val="fr-BE"/>
              </w:rPr>
              <w:t xml:space="preserve"> est un pré-requis indispensable</w:t>
            </w:r>
            <w:r w:rsidRPr="00F660B2">
              <w:rPr>
                <w:lang w:val="fr-BE"/>
              </w:rPr>
              <w:t>.</w:t>
            </w:r>
          </w:p>
          <w:p w14:paraId="5BB1B36E" w14:textId="77777777" w:rsidR="0036314A" w:rsidRPr="00C3390D" w:rsidRDefault="0036314A" w:rsidP="0036314A">
            <w:pPr>
              <w:pStyle w:val="Lijstalinea"/>
              <w:numPr>
                <w:ilvl w:val="0"/>
                <w:numId w:val="8"/>
              </w:numPr>
              <w:rPr>
                <w:lang w:val="fr-FR"/>
              </w:rPr>
            </w:pPr>
            <w:r>
              <w:rPr>
                <w:lang w:val="fr-BE"/>
              </w:rPr>
              <w:t xml:space="preserve">Nous garantissons aux répondants un traitement </w:t>
            </w:r>
            <w:r w:rsidRPr="00F660B2">
              <w:rPr>
                <w:b/>
                <w:lang w:val="fr-BE"/>
              </w:rPr>
              <w:t>confidentiel</w:t>
            </w:r>
            <w:r>
              <w:rPr>
                <w:lang w:val="fr-BE"/>
              </w:rPr>
              <w:t xml:space="preserve"> des réponses de façon à ce qu’ils soient à l’aise pour répondre en toute liberté. </w:t>
            </w:r>
            <w:r w:rsidRPr="00F660B2">
              <w:rPr>
                <w:lang w:val="fr-BE"/>
              </w:rPr>
              <w:t xml:space="preserve">L’organisation reçoit un rapport avec les résultats agrégés et n’a pas accès à la base de données contenant les réponses individuelles. </w:t>
            </w:r>
          </w:p>
          <w:p w14:paraId="4A3C649E" w14:textId="77777777" w:rsidR="00C6123C" w:rsidRPr="00031F41" w:rsidRDefault="0036314A" w:rsidP="0036314A">
            <w:pPr>
              <w:pStyle w:val="Lijstalinea"/>
              <w:numPr>
                <w:ilvl w:val="0"/>
                <w:numId w:val="8"/>
              </w:numPr>
              <w:rPr>
                <w:lang w:val="fr-FR"/>
              </w:rPr>
            </w:pPr>
            <w:r w:rsidRPr="0036314A">
              <w:rPr>
                <w:lang w:val="fr-BE"/>
              </w:rPr>
              <w:t xml:space="preserve">Le SPF  P&amp;O procède avec l’organisation impliquée à une </w:t>
            </w:r>
            <w:r w:rsidRPr="0036314A">
              <w:rPr>
                <w:b/>
                <w:lang w:val="fr-BE"/>
              </w:rPr>
              <w:t>évaluation</w:t>
            </w:r>
            <w:r w:rsidRPr="0036314A">
              <w:rPr>
                <w:lang w:val="fr-BE"/>
              </w:rPr>
              <w:t xml:space="preserve"> après le projet dans un but d’amélioration en vue de projets ultérieurs similaires.</w:t>
            </w:r>
          </w:p>
          <w:p w14:paraId="630653AD" w14:textId="4B3D5F1F" w:rsidR="00031F41" w:rsidRPr="00C3390D" w:rsidRDefault="00031F41" w:rsidP="00031F41">
            <w:pPr>
              <w:pStyle w:val="Lijstalinea"/>
              <w:rPr>
                <w:lang w:val="fr-FR"/>
              </w:rPr>
            </w:pPr>
          </w:p>
        </w:tc>
      </w:tr>
      <w:tr w:rsidR="00C6123C" w:rsidRPr="00656F18" w14:paraId="630653B5" w14:textId="77777777" w:rsidTr="00031F41">
        <w:tc>
          <w:tcPr>
            <w:tcW w:w="1526" w:type="dxa"/>
          </w:tcPr>
          <w:p w14:paraId="0439F07A" w14:textId="77777777" w:rsidR="00C6123C" w:rsidRDefault="00C6123C" w:rsidP="00485347">
            <w:pPr>
              <w:rPr>
                <w:b/>
                <w:lang w:val="fr-BE"/>
              </w:rPr>
            </w:pPr>
          </w:p>
          <w:p w14:paraId="3DCB2DBF" w14:textId="77777777" w:rsidR="00C6123C" w:rsidRDefault="00C6123C" w:rsidP="00485347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Service</w:t>
            </w:r>
          </w:p>
          <w:p w14:paraId="28E34C29" w14:textId="77777777" w:rsidR="00C6123C" w:rsidRPr="00D6011C" w:rsidRDefault="00C6123C" w:rsidP="008B54D7">
            <w:pPr>
              <w:rPr>
                <w:b/>
              </w:rPr>
            </w:pPr>
          </w:p>
        </w:tc>
        <w:tc>
          <w:tcPr>
            <w:tcW w:w="7762" w:type="dxa"/>
          </w:tcPr>
          <w:p w14:paraId="195C28BF" w14:textId="77777777" w:rsidR="00031F41" w:rsidRDefault="00031F41" w:rsidP="0036314A">
            <w:pPr>
              <w:rPr>
                <w:lang w:val="fr-BE"/>
              </w:rPr>
            </w:pPr>
          </w:p>
          <w:p w14:paraId="630653B4" w14:textId="2FC64D4E" w:rsidR="00C6123C" w:rsidRPr="0036314A" w:rsidRDefault="0036314A" w:rsidP="0036314A">
            <w:pPr>
              <w:rPr>
                <w:lang w:val="fr-BE"/>
              </w:rPr>
            </w:pPr>
            <w:r w:rsidRPr="0036314A">
              <w:rPr>
                <w:lang w:val="fr-BE"/>
              </w:rPr>
              <w:t>DG Organisation et développement du personnel</w:t>
            </w:r>
          </w:p>
        </w:tc>
      </w:tr>
      <w:tr w:rsidR="00C6123C" w:rsidRPr="00C6123C" w14:paraId="630653BB" w14:textId="77777777" w:rsidTr="00031F41">
        <w:tc>
          <w:tcPr>
            <w:tcW w:w="1526" w:type="dxa"/>
          </w:tcPr>
          <w:p w14:paraId="36A6BF6B" w14:textId="77777777" w:rsidR="00C6123C" w:rsidRPr="00611CA8" w:rsidRDefault="00C6123C" w:rsidP="00485347">
            <w:pPr>
              <w:rPr>
                <w:b/>
                <w:lang w:val="fr-BE"/>
              </w:rPr>
            </w:pPr>
          </w:p>
          <w:p w14:paraId="360A4D34" w14:textId="77777777" w:rsidR="00C6123C" w:rsidRPr="00941594" w:rsidRDefault="00C6123C" w:rsidP="00485347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>Contact</w:t>
            </w:r>
          </w:p>
          <w:p w14:paraId="5C0061E3" w14:textId="77777777" w:rsidR="00C6123C" w:rsidRDefault="00C6123C" w:rsidP="008B54D7">
            <w:pPr>
              <w:rPr>
                <w:b/>
              </w:rPr>
            </w:pPr>
          </w:p>
        </w:tc>
        <w:tc>
          <w:tcPr>
            <w:tcW w:w="7762" w:type="dxa"/>
          </w:tcPr>
          <w:p w14:paraId="630653B9" w14:textId="77777777" w:rsidR="00C6123C" w:rsidRDefault="00C6123C" w:rsidP="008B54D7"/>
          <w:p w14:paraId="6A404C4C" w14:textId="77777777" w:rsidR="0036314A" w:rsidRDefault="0036314A" w:rsidP="0036314A">
            <w:r>
              <w:t>km@fedweb.belgium.be</w:t>
            </w:r>
          </w:p>
          <w:p w14:paraId="630653BA" w14:textId="089AA55B" w:rsidR="00C6123C" w:rsidRPr="00C6123C" w:rsidRDefault="00C6123C" w:rsidP="008B54D7">
            <w:pPr>
              <w:rPr>
                <w:lang w:val="fr-BE"/>
              </w:rPr>
            </w:pPr>
          </w:p>
        </w:tc>
      </w:tr>
      <w:tr w:rsidR="00C6123C" w14:paraId="630653C2" w14:textId="77777777" w:rsidTr="00031F41">
        <w:tc>
          <w:tcPr>
            <w:tcW w:w="1526" w:type="dxa"/>
          </w:tcPr>
          <w:p w14:paraId="44409BDB" w14:textId="77777777" w:rsidR="00C6123C" w:rsidRPr="00941594" w:rsidRDefault="00C6123C" w:rsidP="00485347">
            <w:pPr>
              <w:rPr>
                <w:b/>
                <w:lang w:val="fr-BE"/>
              </w:rPr>
            </w:pPr>
          </w:p>
          <w:p w14:paraId="7DA803D6" w14:textId="77777777" w:rsidR="00C6123C" w:rsidRPr="00941594" w:rsidRDefault="00C6123C" w:rsidP="00485347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>Site web</w:t>
            </w:r>
          </w:p>
          <w:p w14:paraId="55973301" w14:textId="77777777" w:rsidR="00C6123C" w:rsidRPr="00D6011C" w:rsidRDefault="00C6123C" w:rsidP="008B54D7">
            <w:pPr>
              <w:rPr>
                <w:b/>
              </w:rPr>
            </w:pPr>
          </w:p>
        </w:tc>
        <w:tc>
          <w:tcPr>
            <w:tcW w:w="7762" w:type="dxa"/>
          </w:tcPr>
          <w:p w14:paraId="630653BF" w14:textId="77777777" w:rsidR="00C6123C" w:rsidRDefault="00C6123C" w:rsidP="008B54D7"/>
          <w:p w14:paraId="4131AA02" w14:textId="77777777" w:rsidR="00C6123C" w:rsidRDefault="00656F18" w:rsidP="0036314A">
            <w:hyperlink r:id="rId8" w:history="1">
              <w:r w:rsidR="00031F41" w:rsidRPr="00FE4B35">
                <w:rPr>
                  <w:rStyle w:val="Hyperlink"/>
                </w:rPr>
                <w:t>http://www.fedweb.belgium.be/fr/a_propos_de_l_organisation/gestion_des_connaissances/cop</w:t>
              </w:r>
            </w:hyperlink>
            <w:r w:rsidR="00031F41">
              <w:t xml:space="preserve"> </w:t>
            </w:r>
          </w:p>
          <w:p w14:paraId="630653C1" w14:textId="2A4D4BDC" w:rsidR="00656F18" w:rsidRDefault="00656F18" w:rsidP="0036314A">
            <w:bookmarkStart w:id="0" w:name="_GoBack"/>
            <w:bookmarkEnd w:id="0"/>
          </w:p>
        </w:tc>
      </w:tr>
      <w:tr w:rsidR="00C6123C" w14:paraId="630653C8" w14:textId="77777777" w:rsidTr="00031F41">
        <w:tc>
          <w:tcPr>
            <w:tcW w:w="1526" w:type="dxa"/>
          </w:tcPr>
          <w:p w14:paraId="31A81C6F" w14:textId="77777777" w:rsidR="00C6123C" w:rsidRPr="00031F41" w:rsidRDefault="00C6123C" w:rsidP="00485347">
            <w:pPr>
              <w:rPr>
                <w:b/>
              </w:rPr>
            </w:pPr>
          </w:p>
          <w:p w14:paraId="19579330" w14:textId="77777777" w:rsidR="00C6123C" w:rsidRPr="00941594" w:rsidRDefault="00C6123C" w:rsidP="00485347">
            <w:pPr>
              <w:rPr>
                <w:b/>
                <w:lang w:val="fr-BE"/>
              </w:rPr>
            </w:pPr>
            <w:r w:rsidRPr="00941594">
              <w:rPr>
                <w:b/>
                <w:lang w:val="fr-BE"/>
              </w:rPr>
              <w:t>Produits et services apparentés</w:t>
            </w:r>
          </w:p>
          <w:p w14:paraId="3E8D632A" w14:textId="77777777" w:rsidR="00C6123C" w:rsidRPr="00D6011C" w:rsidRDefault="00C6123C" w:rsidP="008B54D7">
            <w:pPr>
              <w:rPr>
                <w:b/>
              </w:rPr>
            </w:pPr>
          </w:p>
        </w:tc>
        <w:tc>
          <w:tcPr>
            <w:tcW w:w="7762" w:type="dxa"/>
          </w:tcPr>
          <w:p w14:paraId="231C0CA5" w14:textId="77777777" w:rsidR="00C6123C" w:rsidRPr="00C3390D" w:rsidRDefault="00C6123C" w:rsidP="008420D3">
            <w:pPr>
              <w:rPr>
                <w:lang w:val="fr-FR"/>
              </w:rPr>
            </w:pPr>
          </w:p>
          <w:p w14:paraId="2668A231" w14:textId="77777777" w:rsidR="0036314A" w:rsidRPr="00C6123C" w:rsidRDefault="0036314A" w:rsidP="0036314A">
            <w:pPr>
              <w:rPr>
                <w:lang w:val="fr-BE"/>
              </w:rPr>
            </w:pPr>
            <w:r>
              <w:rPr>
                <w:lang w:val="fr-BE"/>
              </w:rPr>
              <w:t xml:space="preserve">Guide </w:t>
            </w:r>
            <w:hyperlink r:id="rId9" w:history="1">
              <w:r w:rsidRPr="00F77884">
                <w:rPr>
                  <w:rStyle w:val="Hyperlink"/>
                  <w:lang w:val="fr-BE"/>
                </w:rPr>
                <w:t>'Apprendre ensemble et co-créer'</w:t>
              </w:r>
            </w:hyperlink>
          </w:p>
          <w:p w14:paraId="1722E8F3" w14:textId="528E1494" w:rsidR="0036314A" w:rsidRPr="00F77884" w:rsidRDefault="00656F18" w:rsidP="0036314A">
            <w:pPr>
              <w:rPr>
                <w:lang w:val="fr-BE"/>
              </w:rPr>
            </w:pPr>
            <w:hyperlink r:id="rId10" w:history="1">
              <w:r w:rsidR="0036314A" w:rsidRPr="00031F41">
                <w:rPr>
                  <w:rStyle w:val="Hyperlink"/>
                  <w:lang w:val="fr-BE"/>
                </w:rPr>
                <w:t>Kit d’analyse CoP</w:t>
              </w:r>
            </w:hyperlink>
          </w:p>
          <w:p w14:paraId="314F8021" w14:textId="053CDD2B" w:rsidR="0036314A" w:rsidRDefault="00656F18" w:rsidP="0036314A">
            <w:pPr>
              <w:rPr>
                <w:lang w:val="fr-BE"/>
              </w:rPr>
            </w:pPr>
            <w:hyperlink r:id="rId11" w:history="1">
              <w:r w:rsidR="0036314A" w:rsidRPr="00031F41">
                <w:rPr>
                  <w:rStyle w:val="Hyperlink"/>
                  <w:lang w:val="fr-BE"/>
                </w:rPr>
                <w:t>Matériel pour un coordinateur</w:t>
              </w:r>
            </w:hyperlink>
            <w:r w:rsidR="0036314A" w:rsidRPr="00F77884">
              <w:rPr>
                <w:lang w:val="fr-BE"/>
              </w:rPr>
              <w:t xml:space="preserve"> </w:t>
            </w:r>
          </w:p>
          <w:p w14:paraId="09ECCDD4" w14:textId="37663906" w:rsidR="00C6123C" w:rsidRDefault="00656F18" w:rsidP="0036314A">
            <w:pPr>
              <w:rPr>
                <w:lang w:val="fr-BE"/>
              </w:rPr>
            </w:pPr>
            <w:hyperlink r:id="rId12" w:history="1">
              <w:r w:rsidR="0036314A" w:rsidRPr="00031F41">
                <w:rPr>
                  <w:rStyle w:val="Hyperlink"/>
                  <w:lang w:val="fr-BE"/>
                </w:rPr>
                <w:t>L’enquête en format word</w:t>
              </w:r>
            </w:hyperlink>
          </w:p>
          <w:p w14:paraId="630653C7" w14:textId="51F34143" w:rsidR="00031F41" w:rsidRDefault="00031F41" w:rsidP="0036314A"/>
        </w:tc>
      </w:tr>
    </w:tbl>
    <w:p w14:paraId="630653CF" w14:textId="7A8C7384" w:rsidR="00AF272F" w:rsidRPr="00C6123C" w:rsidRDefault="00AF272F">
      <w:pPr>
        <w:rPr>
          <w:lang w:val="fr-BE"/>
        </w:rPr>
      </w:pPr>
    </w:p>
    <w:p w14:paraId="630653D0" w14:textId="77777777" w:rsidR="004F2D95" w:rsidRPr="00C6123C" w:rsidRDefault="004F2D95" w:rsidP="004F2D95">
      <w:pPr>
        <w:rPr>
          <w:lang w:val="fr-BE"/>
        </w:rPr>
      </w:pPr>
    </w:p>
    <w:p w14:paraId="630653D1" w14:textId="77777777" w:rsidR="00E41F89" w:rsidRPr="00C6123C" w:rsidRDefault="00E41F89" w:rsidP="004F2D95">
      <w:pPr>
        <w:rPr>
          <w:lang w:val="fr-BE"/>
        </w:rPr>
      </w:pPr>
    </w:p>
    <w:sectPr w:rsidR="00E41F89" w:rsidRPr="00C6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174F"/>
    <w:multiLevelType w:val="multilevel"/>
    <w:tmpl w:val="D414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867C9"/>
    <w:multiLevelType w:val="hybridMultilevel"/>
    <w:tmpl w:val="264234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1F43"/>
    <w:multiLevelType w:val="multilevel"/>
    <w:tmpl w:val="2936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35714"/>
    <w:multiLevelType w:val="multilevel"/>
    <w:tmpl w:val="B7DC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041A6"/>
    <w:multiLevelType w:val="hybridMultilevel"/>
    <w:tmpl w:val="D5FA9838"/>
    <w:lvl w:ilvl="0" w:tplc="80060F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64949"/>
    <w:multiLevelType w:val="multilevel"/>
    <w:tmpl w:val="8684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C00E1"/>
    <w:multiLevelType w:val="hybridMultilevel"/>
    <w:tmpl w:val="B400EBD2"/>
    <w:lvl w:ilvl="0" w:tplc="60286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83B23"/>
    <w:multiLevelType w:val="hybridMultilevel"/>
    <w:tmpl w:val="C9FC79CC"/>
    <w:lvl w:ilvl="0" w:tplc="60286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523EB"/>
    <w:multiLevelType w:val="hybridMultilevel"/>
    <w:tmpl w:val="A4C0F8EA"/>
    <w:lvl w:ilvl="0" w:tplc="CAFCC6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E378D"/>
    <w:multiLevelType w:val="hybridMultilevel"/>
    <w:tmpl w:val="D1A8A2D8"/>
    <w:lvl w:ilvl="0" w:tplc="16F28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3797E"/>
    <w:multiLevelType w:val="hybridMultilevel"/>
    <w:tmpl w:val="2642340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02116"/>
    <w:multiLevelType w:val="hybridMultilevel"/>
    <w:tmpl w:val="E6AE55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A6"/>
    <w:rsid w:val="000220B1"/>
    <w:rsid w:val="00031F41"/>
    <w:rsid w:val="0004168E"/>
    <w:rsid w:val="00042854"/>
    <w:rsid w:val="0004516C"/>
    <w:rsid w:val="00056961"/>
    <w:rsid w:val="00077D7D"/>
    <w:rsid w:val="0009626B"/>
    <w:rsid w:val="000B1BDB"/>
    <w:rsid w:val="00192465"/>
    <w:rsid w:val="0019332D"/>
    <w:rsid w:val="001B0D77"/>
    <w:rsid w:val="001B1A48"/>
    <w:rsid w:val="001E0D1E"/>
    <w:rsid w:val="0027134C"/>
    <w:rsid w:val="002F6CD2"/>
    <w:rsid w:val="00336C18"/>
    <w:rsid w:val="0036314A"/>
    <w:rsid w:val="00383DFB"/>
    <w:rsid w:val="00390D59"/>
    <w:rsid w:val="003971B2"/>
    <w:rsid w:val="004403E7"/>
    <w:rsid w:val="00485D4C"/>
    <w:rsid w:val="00490812"/>
    <w:rsid w:val="004E474E"/>
    <w:rsid w:val="004F2D95"/>
    <w:rsid w:val="00511E79"/>
    <w:rsid w:val="005754EA"/>
    <w:rsid w:val="00611CA8"/>
    <w:rsid w:val="00620724"/>
    <w:rsid w:val="00626202"/>
    <w:rsid w:val="00626A8D"/>
    <w:rsid w:val="00646BD0"/>
    <w:rsid w:val="00656F18"/>
    <w:rsid w:val="006F51E9"/>
    <w:rsid w:val="00793A36"/>
    <w:rsid w:val="007A51CB"/>
    <w:rsid w:val="007B1E90"/>
    <w:rsid w:val="007C7CA9"/>
    <w:rsid w:val="00814B2B"/>
    <w:rsid w:val="0082523C"/>
    <w:rsid w:val="008420D3"/>
    <w:rsid w:val="008A0A25"/>
    <w:rsid w:val="008A220C"/>
    <w:rsid w:val="008A51F5"/>
    <w:rsid w:val="008A772D"/>
    <w:rsid w:val="008B49B7"/>
    <w:rsid w:val="008D6FB7"/>
    <w:rsid w:val="0090712A"/>
    <w:rsid w:val="00961DA6"/>
    <w:rsid w:val="00A411B0"/>
    <w:rsid w:val="00A52F12"/>
    <w:rsid w:val="00AB27EA"/>
    <w:rsid w:val="00AC0CEA"/>
    <w:rsid w:val="00AF272F"/>
    <w:rsid w:val="00B0002F"/>
    <w:rsid w:val="00B62E83"/>
    <w:rsid w:val="00B76670"/>
    <w:rsid w:val="00BD4D3B"/>
    <w:rsid w:val="00C03538"/>
    <w:rsid w:val="00C03CBA"/>
    <w:rsid w:val="00C2653A"/>
    <w:rsid w:val="00C3390D"/>
    <w:rsid w:val="00C40DF1"/>
    <w:rsid w:val="00C55658"/>
    <w:rsid w:val="00C6123C"/>
    <w:rsid w:val="00C65AC5"/>
    <w:rsid w:val="00C706F7"/>
    <w:rsid w:val="00CB0E19"/>
    <w:rsid w:val="00CB0F03"/>
    <w:rsid w:val="00D148BD"/>
    <w:rsid w:val="00D5120B"/>
    <w:rsid w:val="00D6011C"/>
    <w:rsid w:val="00D8798C"/>
    <w:rsid w:val="00DA480E"/>
    <w:rsid w:val="00DC4D4E"/>
    <w:rsid w:val="00DE3416"/>
    <w:rsid w:val="00E41F89"/>
    <w:rsid w:val="00E669EB"/>
    <w:rsid w:val="00EB2D94"/>
    <w:rsid w:val="00EE5DD5"/>
    <w:rsid w:val="00F20C76"/>
    <w:rsid w:val="00F26FB0"/>
    <w:rsid w:val="00F660B2"/>
    <w:rsid w:val="00F76323"/>
    <w:rsid w:val="00F7741A"/>
    <w:rsid w:val="00F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5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0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0C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E341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1B0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B0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00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00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00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00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002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02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1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0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B0D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0C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E3416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07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1B0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B0D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002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00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002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00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002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02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1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7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0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5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1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9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96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0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web.belgium.be/fr/a_propos_de_l_organisation/gestion_des_connaissances/c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edweb.belgium.be/fr/publications/km_cop_kit_analyse" TargetMode="External"/><Relationship Id="rId12" Type="http://schemas.openxmlformats.org/officeDocument/2006/relationships/hyperlink" Target="http://www.fedweb.belgium.be/sites/default/files/CoP%20Enquete%20pour%20les%20membres_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dweb.belgium.be/fr/publications/km_cop_outil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edweb.belgium.be/fr/publications/km_cop_kit_analy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dweb.belgium.be/fr/publications/km_guide_c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9E52-3559-4D07-BF24-F391F333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DHooghe Tine</dc:creator>
  <cp:lastModifiedBy>Willems Ingrid</cp:lastModifiedBy>
  <cp:revision>7</cp:revision>
  <dcterms:created xsi:type="dcterms:W3CDTF">2016-09-29T11:57:00Z</dcterms:created>
  <dcterms:modified xsi:type="dcterms:W3CDTF">2016-09-30T11:44:00Z</dcterms:modified>
</cp:coreProperties>
</file>